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4607B1" w:rsidRDefault="00046E43" w:rsidP="004607B1">
      <w:pPr>
        <w:bidi/>
        <w:jc w:val="both"/>
        <w:rPr>
          <w:rFonts w:ascii="Noor_Badr" w:hAnsi="Noor_Badr" w:cs="Noor_Badr"/>
          <w:sz w:val="32"/>
          <w:szCs w:val="32"/>
          <w:rtl/>
          <w:lang w:bidi="fa-IR"/>
        </w:rPr>
      </w:pPr>
      <w:bookmarkStart w:id="0" w:name="_GoBack"/>
      <w:r w:rsidRPr="004607B1">
        <w:rPr>
          <w:rFonts w:ascii="Noor_Badr" w:hAnsi="Noor_Badr" w:cs="Noor_Badr"/>
          <w:sz w:val="32"/>
          <w:szCs w:val="32"/>
          <w:rtl/>
          <w:lang w:bidi="fa-IR"/>
        </w:rPr>
        <w:t>خارج اصول-جلسه بیست و هفتم-چهارشنبه 23/ 8/ 97</w:t>
      </w:r>
    </w:p>
    <w:p w:rsidR="00046E43" w:rsidRPr="004607B1" w:rsidRDefault="00046E43"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حدیث-</w:t>
      </w:r>
    </w:p>
    <w:p w:rsidR="00046E43" w:rsidRPr="004607B1" w:rsidRDefault="00046E43"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عن الإمام الباقر عليه السّلام: «يا جابر، لو كنّا نفتي الناس برأينا و هوانا لكنّا من الهالكين، و لكنّا نفتيهم بآثار من رسول اللّه صلّى اللّه عليه و آله، و أصول علم عندنا نتوارثها كابرا عن كابر، نكنزها كما يكنز هؤلاء ذهبهم و فضّتهم»</w:t>
      </w:r>
      <w:r w:rsidR="00632613" w:rsidRPr="004607B1">
        <w:rPr>
          <w:rStyle w:val="FootnoteReference"/>
          <w:rFonts w:ascii="Noor_Badr" w:hAnsi="Noor_Badr" w:cs="Noor_Badr"/>
          <w:sz w:val="32"/>
          <w:szCs w:val="32"/>
          <w:rtl/>
          <w:lang w:bidi="fa-IR"/>
        </w:rPr>
        <w:footnoteReference w:id="1"/>
      </w:r>
      <w:r w:rsidR="00B3654A" w:rsidRPr="004607B1">
        <w:rPr>
          <w:rFonts w:ascii="Noor_Badr" w:hAnsi="Noor_Badr" w:cs="Noor_Badr"/>
          <w:sz w:val="32"/>
          <w:szCs w:val="32"/>
          <w:rtl/>
          <w:lang w:bidi="fa-IR"/>
        </w:rPr>
        <w:t>.</w:t>
      </w:r>
    </w:p>
    <w:p w:rsidR="001112F8" w:rsidRPr="004607B1" w:rsidRDefault="00B042B5"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یا جابر: جابر جعفی</w:t>
      </w:r>
    </w:p>
    <w:p w:rsidR="00B042B5" w:rsidRPr="004607B1" w:rsidRDefault="00B042B5"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هؤلاء: بنی امیه و بنی عباس یا اهل دنیا.</w:t>
      </w:r>
    </w:p>
    <w:p w:rsidR="00CA2EDC" w:rsidRPr="004607B1" w:rsidRDefault="00CA2EDC"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این روایت از روایاتی است که عنوان صحیفة الطلبه است که باید ما ط</w:t>
      </w:r>
      <w:r w:rsidR="00D25BD1" w:rsidRPr="004607B1">
        <w:rPr>
          <w:rFonts w:ascii="Noor_Badr" w:hAnsi="Noor_Badr" w:cs="Noor_Badr"/>
          <w:sz w:val="32"/>
          <w:szCs w:val="32"/>
          <w:rtl/>
          <w:lang w:bidi="fa-IR"/>
        </w:rPr>
        <w:t>لاب، مشغول مطالعه و مباحثه وکاره</w:t>
      </w:r>
      <w:r w:rsidRPr="004607B1">
        <w:rPr>
          <w:rFonts w:ascii="Noor_Badr" w:hAnsi="Noor_Badr" w:cs="Noor_Badr"/>
          <w:sz w:val="32"/>
          <w:szCs w:val="32"/>
          <w:rtl/>
          <w:lang w:bidi="fa-IR"/>
        </w:rPr>
        <w:t>ای علمی باشیم.</w:t>
      </w:r>
    </w:p>
    <w:p w:rsidR="00B3654A" w:rsidRPr="004607B1" w:rsidRDefault="00687545"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w:t>
      </w:r>
    </w:p>
    <w:p w:rsidR="00687545" w:rsidRPr="004607B1" w:rsidRDefault="00E85F1B" w:rsidP="004607B1">
      <w:pPr>
        <w:bidi/>
        <w:jc w:val="both"/>
        <w:rPr>
          <w:rFonts w:ascii="Noor_Badr" w:hAnsi="Noor_Badr" w:cs="Noor_Badr"/>
          <w:sz w:val="32"/>
          <w:szCs w:val="32"/>
          <w:lang w:bidi="fa-IR"/>
        </w:rPr>
      </w:pPr>
      <w:r w:rsidRPr="004607B1">
        <w:rPr>
          <w:rFonts w:ascii="Noor_Badr" w:hAnsi="Noor_Badr" w:cs="Noor_Badr"/>
          <w:sz w:val="32"/>
          <w:szCs w:val="32"/>
          <w:rtl/>
          <w:lang w:bidi="fa-IR"/>
        </w:rPr>
        <w:t>کلام به اینجا رسید که فرمایش محقق نائینی قابل دفاع اس</w:t>
      </w:r>
      <w:r w:rsidR="00CB1964" w:rsidRPr="004607B1">
        <w:rPr>
          <w:rFonts w:ascii="Noor_Badr" w:hAnsi="Noor_Badr" w:cs="Noor_Badr"/>
          <w:sz w:val="32"/>
          <w:szCs w:val="32"/>
          <w:rtl/>
          <w:lang w:bidi="fa-IR"/>
        </w:rPr>
        <w:t xml:space="preserve">ت و فرمایش محقق خوئی مورد نقد قرار گرفت که البته ایشان در پایان، استدراکی داشتند که اگر مورد قبول خودشان باشد، دیگر اشکال ایشان بر استاد </w:t>
      </w:r>
    </w:p>
    <w:p w:rsidR="00046E43" w:rsidRPr="004607B1" w:rsidRDefault="00CB1964"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وارد نیست.</w:t>
      </w:r>
    </w:p>
    <w:p w:rsidR="002A0FD2" w:rsidRPr="004607B1" w:rsidRDefault="002A0FD2"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lastRenderedPageBreak/>
        <w:t>بنابراین</w:t>
      </w:r>
      <w:r w:rsidR="00D6656F" w:rsidRPr="004607B1">
        <w:rPr>
          <w:rFonts w:ascii="Noor_Badr" w:hAnsi="Noor_Badr" w:cs="Noor_Badr"/>
          <w:sz w:val="32"/>
          <w:szCs w:val="32"/>
          <w:rtl/>
          <w:lang w:bidi="fa-IR"/>
        </w:rPr>
        <w:t>،</w:t>
      </w:r>
      <w:r w:rsidRPr="004607B1">
        <w:rPr>
          <w:rFonts w:ascii="Noor_Badr" w:hAnsi="Noor_Badr" w:cs="Noor_Badr"/>
          <w:sz w:val="32"/>
          <w:szCs w:val="32"/>
          <w:rtl/>
          <w:lang w:bidi="fa-IR"/>
        </w:rPr>
        <w:t xml:space="preserve"> قول به عدم اجزاء ثبوتا و اثباتا صحیح نیست</w:t>
      </w:r>
      <w:r w:rsidR="00285D08" w:rsidRPr="004607B1">
        <w:rPr>
          <w:rFonts w:ascii="Noor_Badr" w:hAnsi="Noor_Badr" w:cs="Noor_Badr"/>
          <w:sz w:val="32"/>
          <w:szCs w:val="32"/>
          <w:rtl/>
          <w:lang w:bidi="fa-IR"/>
        </w:rPr>
        <w:t xml:space="preserve"> و معقول نیست </w:t>
      </w:r>
      <w:r w:rsidR="00EC732E" w:rsidRPr="004607B1">
        <w:rPr>
          <w:rFonts w:ascii="Noor_Badr" w:hAnsi="Noor_Badr" w:cs="Noor_Badr"/>
          <w:sz w:val="32"/>
          <w:szCs w:val="32"/>
          <w:rtl/>
          <w:lang w:bidi="fa-IR"/>
        </w:rPr>
        <w:t>که نماز با تیمم در وقتی که در تمام آن وقت اضطرار وجود دارد، مطلوب باشد و با این وجود در خارج وقت با آب واجب باشد زیرا طبق یک قضیه مانعة الخلو، داستان نماز اضطراری از دو حال</w:t>
      </w:r>
      <w:r w:rsidR="00D6656F" w:rsidRPr="004607B1">
        <w:rPr>
          <w:rFonts w:ascii="Noor_Badr" w:hAnsi="Noor_Badr" w:cs="Noor_Badr"/>
          <w:sz w:val="32"/>
          <w:szCs w:val="32"/>
          <w:rtl/>
          <w:lang w:bidi="fa-IR"/>
        </w:rPr>
        <w:t>ت</w:t>
      </w:r>
      <w:r w:rsidR="00EC732E" w:rsidRPr="004607B1">
        <w:rPr>
          <w:rFonts w:ascii="Noor_Badr" w:hAnsi="Noor_Badr" w:cs="Noor_Badr"/>
          <w:sz w:val="32"/>
          <w:szCs w:val="32"/>
          <w:rtl/>
          <w:lang w:bidi="fa-IR"/>
        </w:rPr>
        <w:t xml:space="preserve"> خارج نیست: </w:t>
      </w:r>
      <w:r w:rsidR="00281E06" w:rsidRPr="004607B1">
        <w:rPr>
          <w:rFonts w:ascii="Noor_Badr" w:hAnsi="Noor_Badr" w:cs="Noor_Badr"/>
          <w:sz w:val="32"/>
          <w:szCs w:val="32"/>
          <w:rtl/>
          <w:lang w:bidi="fa-IR"/>
        </w:rPr>
        <w:t xml:space="preserve">زیرا </w:t>
      </w:r>
      <w:r w:rsidR="00EC732E" w:rsidRPr="004607B1">
        <w:rPr>
          <w:rFonts w:ascii="Noor_Badr" w:hAnsi="Noor_Badr" w:cs="Noor_Badr"/>
          <w:sz w:val="32"/>
          <w:szCs w:val="32"/>
          <w:rtl/>
          <w:lang w:bidi="fa-IR"/>
        </w:rPr>
        <w:t>یا ماموربهِ فعلی هست یا نیست؛ اگر فعلی باشد، مصلحت ملزمه کامل دارد و با انجام آن، غرض مولا حاصل شده است و اگر فعلی نباشد، کشف می شود که مورد امر و مطلوب مولا نبوده و در نتیجه مصلحت ملزمه نیز ندارد</w:t>
      </w:r>
      <w:r w:rsidR="00A02EA5" w:rsidRPr="004607B1">
        <w:rPr>
          <w:rFonts w:ascii="Noor_Badr" w:hAnsi="Noor_Badr" w:cs="Noor_Badr"/>
          <w:sz w:val="32"/>
          <w:szCs w:val="32"/>
          <w:rtl/>
          <w:lang w:bidi="fa-IR"/>
        </w:rPr>
        <w:t xml:space="preserve"> که در اینصورت از محل کلام ما خارج می باشد زیرا کلام در جایی است که نماز با تیمم، مطلوب شارع باشد؛ در نتیجه از این دو حالت مذکور، فقط حالت اول(فعلی) صحیح است لذا فرمایش محقق نائینی صحیح است و وجوب قضا با وضو در خارج وقت، مستلزم اجتماع نقیضین است.</w:t>
      </w:r>
    </w:p>
    <w:p w:rsidR="004A1C7B" w:rsidRPr="004607B1" w:rsidRDefault="00BD2EFA"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بعد از آنی که فرمایش ایشان در عالم ثبوت صحیح است، در عالم اثبات نیز صحیح می باشد لذا محقق خوئی ابتداءا</w:t>
      </w:r>
      <w:r w:rsidR="00281E06" w:rsidRPr="004607B1">
        <w:rPr>
          <w:rFonts w:ascii="Noor_Badr" w:hAnsi="Noor_Badr" w:cs="Noor_Badr"/>
          <w:sz w:val="32"/>
          <w:szCs w:val="32"/>
          <w:rtl/>
          <w:lang w:bidi="fa-IR"/>
        </w:rPr>
        <w:t>ً</w:t>
      </w:r>
      <w:r w:rsidRPr="004607B1">
        <w:rPr>
          <w:rFonts w:ascii="Noor_Badr" w:hAnsi="Noor_Badr" w:cs="Noor_Badr"/>
          <w:sz w:val="32"/>
          <w:szCs w:val="32"/>
          <w:rtl/>
          <w:lang w:bidi="fa-IR"/>
        </w:rPr>
        <w:t xml:space="preserve"> فرمود: کلام استاد در مقام ثبوت صحیح </w:t>
      </w:r>
      <w:r w:rsidR="004A1C7B" w:rsidRPr="004607B1">
        <w:rPr>
          <w:rFonts w:ascii="Noor_Badr" w:hAnsi="Noor_Badr" w:cs="Noor_Badr"/>
          <w:sz w:val="32"/>
          <w:szCs w:val="32"/>
          <w:rtl/>
          <w:lang w:bidi="fa-IR"/>
        </w:rPr>
        <w:t xml:space="preserve">نیست ولی در مقام اثبات صحیح است؛ آنجا که فرمود: </w:t>
      </w:r>
      <w:r w:rsidRPr="004607B1">
        <w:rPr>
          <w:rFonts w:ascii="Noor_Badr" w:hAnsi="Noor_Badr" w:cs="Noor_Badr"/>
          <w:sz w:val="32"/>
          <w:szCs w:val="32"/>
          <w:rtl/>
          <w:lang w:bidi="fa-IR"/>
        </w:rPr>
        <w:t xml:space="preserve">و اما الدعوی الثانیة </w:t>
      </w:r>
      <w:r w:rsidR="004A1C7B" w:rsidRPr="004607B1">
        <w:rPr>
          <w:rFonts w:ascii="Noor_Badr" w:hAnsi="Noor_Badr" w:cs="Noor_Badr"/>
          <w:sz w:val="32"/>
          <w:szCs w:val="32"/>
          <w:rtl/>
          <w:lang w:bidi="fa-IR"/>
        </w:rPr>
        <w:t>فلأنه لام</w:t>
      </w:r>
      <w:r w:rsidR="00281E06" w:rsidRPr="004607B1">
        <w:rPr>
          <w:rFonts w:ascii="Noor_Badr" w:hAnsi="Noor_Badr" w:cs="Noor_Badr"/>
          <w:sz w:val="32"/>
          <w:szCs w:val="32"/>
          <w:rtl/>
          <w:lang w:bidi="fa-IR"/>
        </w:rPr>
        <w:t xml:space="preserve">انع من التمسک باطلاق ادلة الامر </w:t>
      </w:r>
      <w:r w:rsidR="004A1C7B" w:rsidRPr="004607B1">
        <w:rPr>
          <w:rFonts w:ascii="Noor_Badr" w:hAnsi="Noor_Badr" w:cs="Noor_Badr"/>
          <w:sz w:val="32"/>
          <w:szCs w:val="32"/>
          <w:rtl/>
          <w:lang w:bidi="fa-IR"/>
        </w:rPr>
        <w:t>الاضطراری.</w:t>
      </w:r>
      <w:r w:rsidR="00281E06" w:rsidRPr="004607B1">
        <w:rPr>
          <w:rFonts w:ascii="Noor_Badr" w:hAnsi="Noor_Badr" w:cs="Noor_Badr"/>
          <w:sz w:val="32"/>
          <w:szCs w:val="32"/>
          <w:rtl/>
          <w:lang w:bidi="fa-IR"/>
        </w:rPr>
        <w:t xml:space="preserve"> </w:t>
      </w:r>
      <w:r w:rsidR="00965D8C" w:rsidRPr="004607B1">
        <w:rPr>
          <w:rFonts w:ascii="Noor_Badr" w:hAnsi="Noor_Badr" w:cs="Noor_Badr"/>
          <w:sz w:val="32"/>
          <w:szCs w:val="32"/>
          <w:rtl/>
          <w:lang w:bidi="fa-IR"/>
        </w:rPr>
        <w:t>یعنی فرمایش استاد</w:t>
      </w:r>
      <w:r w:rsidR="00281E06" w:rsidRPr="004607B1">
        <w:rPr>
          <w:rFonts w:ascii="Noor_Badr" w:hAnsi="Noor_Badr" w:cs="Noor_Badr"/>
          <w:sz w:val="32"/>
          <w:szCs w:val="32"/>
          <w:rtl/>
          <w:lang w:bidi="fa-IR"/>
        </w:rPr>
        <w:t xml:space="preserve"> در مقام اثبات صحیح است زیرا آیه</w:t>
      </w:r>
      <w:r w:rsidR="00965D8C" w:rsidRPr="004607B1">
        <w:rPr>
          <w:rFonts w:ascii="Noor_Badr" w:hAnsi="Noor_Badr" w:cs="Noor_Badr"/>
          <w:sz w:val="32"/>
          <w:szCs w:val="32"/>
          <w:rtl/>
          <w:lang w:bidi="fa-IR"/>
        </w:rPr>
        <w:t xml:space="preserve"> تیمم و روایاتی که می گویند تیمم کافی است</w:t>
      </w:r>
      <w:r w:rsidR="00281E06" w:rsidRPr="004607B1">
        <w:rPr>
          <w:rFonts w:ascii="Noor_Badr" w:hAnsi="Noor_Badr" w:cs="Noor_Badr"/>
          <w:sz w:val="32"/>
          <w:szCs w:val="32"/>
          <w:rtl/>
          <w:lang w:bidi="fa-IR"/>
        </w:rPr>
        <w:t>،</w:t>
      </w:r>
      <w:r w:rsidR="00965D8C" w:rsidRPr="004607B1">
        <w:rPr>
          <w:rFonts w:ascii="Noor_Badr" w:hAnsi="Noor_Badr" w:cs="Noor_Badr"/>
          <w:sz w:val="32"/>
          <w:szCs w:val="32"/>
          <w:rtl/>
          <w:lang w:bidi="fa-IR"/>
        </w:rPr>
        <w:t xml:space="preserve"> اطلاق مقامی دارند یعنی متکلم هم در آیه و هم در روایات، در مقام بیان تکلیف دوره اضطرار است و با اینکه در مقام بیان است، نسبت به قضا سکوت کرده است لذا تمسک به اطلاق مقامی می کنیم و فتوا می دهیم که قضا واجب نیست و لازمه تمسک به اطلاق، قول به اجزاء در مقام اثبات است.</w:t>
      </w:r>
    </w:p>
    <w:p w:rsidR="005E3EDA" w:rsidRPr="004607B1" w:rsidRDefault="00464E2F"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آنگاه محقق خوئی در ادامه می</w:t>
      </w:r>
      <w:r w:rsidR="00F0437D" w:rsidRPr="004607B1">
        <w:rPr>
          <w:rFonts w:ascii="Noor_Badr" w:hAnsi="Noor_Badr" w:cs="Noor_Badr"/>
          <w:sz w:val="32"/>
          <w:szCs w:val="32"/>
          <w:rtl/>
          <w:lang w:bidi="fa-IR"/>
        </w:rPr>
        <w:t xml:space="preserve"> </w:t>
      </w:r>
      <w:r w:rsidRPr="004607B1">
        <w:rPr>
          <w:rFonts w:ascii="Noor_Badr" w:hAnsi="Noor_Badr" w:cs="Noor_Badr"/>
          <w:sz w:val="32"/>
          <w:szCs w:val="32"/>
          <w:rtl/>
          <w:lang w:bidi="fa-IR"/>
        </w:rPr>
        <w:t>فرماید: فالآ</w:t>
      </w:r>
      <w:r w:rsidR="00517D3B" w:rsidRPr="004607B1">
        <w:rPr>
          <w:rFonts w:ascii="Noor_Badr" w:hAnsi="Noor_Badr" w:cs="Noor_Badr"/>
          <w:sz w:val="32"/>
          <w:szCs w:val="32"/>
          <w:rtl/>
          <w:lang w:bidi="fa-IR"/>
        </w:rPr>
        <w:t>یة والروایة لیست قاصرة ع</w:t>
      </w:r>
      <w:r w:rsidRPr="004607B1">
        <w:rPr>
          <w:rFonts w:ascii="Noor_Badr" w:hAnsi="Noor_Badr" w:cs="Noor_Badr"/>
          <w:sz w:val="32"/>
          <w:szCs w:val="32"/>
          <w:rtl/>
          <w:lang w:bidi="fa-IR"/>
        </w:rPr>
        <w:t>ن اثبات وجوب الفعل الناقص علی المکلف فی الوقت و عدم وجوب القضاء علیه فی خارج الوقت.</w:t>
      </w:r>
    </w:p>
    <w:p w:rsidR="002741BA" w:rsidRPr="004607B1" w:rsidRDefault="002741BA"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استاد:</w:t>
      </w:r>
    </w:p>
    <w:p w:rsidR="005E3EDA" w:rsidRPr="004607B1" w:rsidRDefault="007C2C1C"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تعبیر محقق</w:t>
      </w:r>
      <w:r w:rsidR="00794BCE" w:rsidRPr="004607B1">
        <w:rPr>
          <w:rFonts w:ascii="Noor_Badr" w:hAnsi="Noor_Badr" w:cs="Noor_Badr"/>
          <w:sz w:val="32"/>
          <w:szCs w:val="32"/>
          <w:rtl/>
          <w:lang w:bidi="fa-IR"/>
        </w:rPr>
        <w:t xml:space="preserve"> خوئی به فعل ناقص، محل تامل است زیرا می توان گفت که </w:t>
      </w:r>
    </w:p>
    <w:p w:rsidR="002741BA" w:rsidRPr="004607B1" w:rsidRDefault="00794BCE"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نماز با تیمم در فرض اضطرار و عدم وجود آب، فعلی است کامل زیرا کسی که آب ندارد، وظیفه اش نماز با تیمم است  مؤید این مطلب روایتی است که می گوید:</w:t>
      </w:r>
      <w:r w:rsidR="004E6E9E" w:rsidRPr="004607B1">
        <w:rPr>
          <w:rFonts w:ascii="Noor_Badr" w:hAnsi="Noor_Badr" w:cs="Noor_Badr"/>
          <w:sz w:val="32"/>
          <w:szCs w:val="32"/>
          <w:rtl/>
          <w:lang w:bidi="fa-IR"/>
        </w:rPr>
        <w:t xml:space="preserve"> </w:t>
      </w:r>
      <w:r w:rsidRPr="004607B1">
        <w:rPr>
          <w:rFonts w:ascii="Noor_Badr" w:hAnsi="Noor_Badr" w:cs="Noor_Badr"/>
          <w:sz w:val="32"/>
          <w:szCs w:val="32"/>
          <w:rtl/>
          <w:lang w:bidi="fa-IR"/>
        </w:rPr>
        <w:t>التراب یکفیک عشرین سنة.</w:t>
      </w:r>
    </w:p>
    <w:p w:rsidR="008C0850" w:rsidRPr="004607B1" w:rsidRDefault="008C0850" w:rsidP="004607B1">
      <w:pPr>
        <w:bidi/>
        <w:jc w:val="both"/>
        <w:rPr>
          <w:rFonts w:ascii="Noor_Badr" w:hAnsi="Noor_Badr" w:cs="Noor_Badr"/>
          <w:sz w:val="32"/>
          <w:szCs w:val="32"/>
          <w:rtl/>
          <w:lang w:bidi="fa-IR"/>
        </w:rPr>
      </w:pPr>
      <w:r w:rsidRPr="004607B1">
        <w:rPr>
          <w:rFonts w:ascii="Noor_Badr" w:hAnsi="Noor_Badr" w:cs="Noor_Badr"/>
          <w:sz w:val="32"/>
          <w:szCs w:val="32"/>
          <w:rtl/>
          <w:lang w:bidi="fa-IR"/>
        </w:rPr>
        <w:t xml:space="preserve">این سخن محقق خوئی، ناظر به فرمایش ایشان در عالم ثبوت است که تصور وحدت مصلحت با تعدد مراتب </w:t>
      </w:r>
      <w:r w:rsidR="00B97D09" w:rsidRPr="004607B1">
        <w:rPr>
          <w:rFonts w:ascii="Noor_Badr" w:hAnsi="Noor_Badr" w:cs="Noor_Badr"/>
          <w:sz w:val="32"/>
          <w:szCs w:val="32"/>
          <w:rtl/>
          <w:lang w:bidi="fa-IR"/>
        </w:rPr>
        <w:t>نمود.</w:t>
      </w:r>
    </w:p>
    <w:p w:rsidR="0001006E" w:rsidRPr="004607B1" w:rsidRDefault="0001006E" w:rsidP="004607B1">
      <w:pPr>
        <w:bidi/>
        <w:jc w:val="both"/>
        <w:rPr>
          <w:rFonts w:ascii="Noor_Badr" w:hAnsi="Noor_Badr" w:cs="Noor_Badr"/>
          <w:sz w:val="32"/>
          <w:szCs w:val="32"/>
          <w:lang w:bidi="fa-IR"/>
        </w:rPr>
      </w:pPr>
      <w:r w:rsidRPr="004607B1">
        <w:rPr>
          <w:rFonts w:ascii="Noor_Badr" w:hAnsi="Noor_Badr" w:cs="Noor_Badr"/>
          <w:sz w:val="32"/>
          <w:szCs w:val="32"/>
          <w:rtl/>
          <w:lang w:bidi="fa-IR"/>
        </w:rPr>
        <w:t>(پایان)</w:t>
      </w:r>
      <w:bookmarkEnd w:id="0"/>
    </w:p>
    <w:sectPr w:rsidR="0001006E" w:rsidRPr="004607B1" w:rsidSect="004607B1">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0BC" w:rsidRDefault="004220BC" w:rsidP="00632613">
      <w:pPr>
        <w:spacing w:after="0" w:line="240" w:lineRule="auto"/>
      </w:pPr>
      <w:r>
        <w:separator/>
      </w:r>
    </w:p>
  </w:endnote>
  <w:endnote w:type="continuationSeparator" w:id="0">
    <w:p w:rsidR="004220BC" w:rsidRDefault="004220BC" w:rsidP="00632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0BC" w:rsidRDefault="004220BC" w:rsidP="00632613">
      <w:pPr>
        <w:spacing w:after="0" w:line="240" w:lineRule="auto"/>
      </w:pPr>
      <w:r>
        <w:separator/>
      </w:r>
    </w:p>
  </w:footnote>
  <w:footnote w:type="continuationSeparator" w:id="0">
    <w:p w:rsidR="004220BC" w:rsidRDefault="004220BC" w:rsidP="00632613">
      <w:pPr>
        <w:spacing w:after="0" w:line="240" w:lineRule="auto"/>
      </w:pPr>
      <w:r>
        <w:continuationSeparator/>
      </w:r>
    </w:p>
  </w:footnote>
  <w:footnote w:id="1">
    <w:p w:rsidR="00632613" w:rsidRPr="00632613" w:rsidRDefault="00632613" w:rsidP="00632613">
      <w:pPr>
        <w:pStyle w:val="FootnoteText"/>
        <w:rPr>
          <w:sz w:val="24"/>
          <w:szCs w:val="24"/>
        </w:rPr>
      </w:pPr>
      <w:r w:rsidRPr="00632613">
        <w:rPr>
          <w:rStyle w:val="FootnoteReference"/>
          <w:sz w:val="24"/>
          <w:szCs w:val="24"/>
        </w:rPr>
        <w:footnoteRef/>
      </w:r>
      <w:r w:rsidRPr="00632613">
        <w:rPr>
          <w:sz w:val="24"/>
          <w:szCs w:val="24"/>
        </w:rPr>
        <w:t xml:space="preserve"> </w:t>
      </w:r>
      <w:r w:rsidRPr="00632613">
        <w:rPr>
          <w:rFonts w:hint="cs"/>
          <w:sz w:val="24"/>
          <w:szCs w:val="24"/>
          <w:rtl/>
          <w:lang w:bidi="fa-IR"/>
        </w:rPr>
        <w:t>مستند الشيعة في أحكام الشريعة، المقدمة، ص: 11‌</w:t>
      </w:r>
    </w:p>
    <w:p w:rsidR="00FC36FE" w:rsidRPr="00FC36FE" w:rsidRDefault="00FC36FE" w:rsidP="00FC36FE">
      <w:pPr>
        <w:pStyle w:val="FootnoteText"/>
        <w:rPr>
          <w:sz w:val="24"/>
          <w:szCs w:val="24"/>
          <w:lang w:bidi="fa-IR"/>
        </w:rPr>
      </w:pPr>
      <w:r>
        <w:rPr>
          <w:rFonts w:hint="cs"/>
          <w:sz w:val="24"/>
          <w:szCs w:val="24"/>
          <w:rtl/>
          <w:lang w:bidi="fa-IR"/>
        </w:rPr>
        <w:t>(</w:t>
      </w:r>
      <w:r w:rsidRPr="00FC36FE">
        <w:rPr>
          <w:rFonts w:hint="cs"/>
          <w:sz w:val="24"/>
          <w:szCs w:val="24"/>
          <w:rtl/>
          <w:lang w:bidi="fa-IR"/>
        </w:rPr>
        <w:t>بصائر الدرجات 320- 4 ب 14، الاختصاص: 280 بتفاوت يس</w:t>
      </w:r>
      <w:r>
        <w:rPr>
          <w:rFonts w:hint="cs"/>
          <w:sz w:val="24"/>
          <w:szCs w:val="24"/>
          <w:rtl/>
          <w:lang w:bidi="fa-IR"/>
        </w:rPr>
        <w:t>ير، و عنهما في البحار 2 172- 3)</w:t>
      </w:r>
    </w:p>
    <w:p w:rsidR="00632613" w:rsidRDefault="00632613">
      <w:pPr>
        <w:pStyle w:val="FootnoteText"/>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E43"/>
    <w:rsid w:val="0001006E"/>
    <w:rsid w:val="00046E43"/>
    <w:rsid w:val="001112F8"/>
    <w:rsid w:val="00225387"/>
    <w:rsid w:val="002741BA"/>
    <w:rsid w:val="00281E06"/>
    <w:rsid w:val="00285D08"/>
    <w:rsid w:val="002A0FD2"/>
    <w:rsid w:val="00370D0B"/>
    <w:rsid w:val="004220BC"/>
    <w:rsid w:val="004607B1"/>
    <w:rsid w:val="00464E2F"/>
    <w:rsid w:val="004A1C7B"/>
    <w:rsid w:val="004D3842"/>
    <w:rsid w:val="004E6E9E"/>
    <w:rsid w:val="00517D3B"/>
    <w:rsid w:val="005C7205"/>
    <w:rsid w:val="005E3EDA"/>
    <w:rsid w:val="00632613"/>
    <w:rsid w:val="00687545"/>
    <w:rsid w:val="00785C24"/>
    <w:rsid w:val="00794BCE"/>
    <w:rsid w:val="007C2C1C"/>
    <w:rsid w:val="008A614B"/>
    <w:rsid w:val="008C0850"/>
    <w:rsid w:val="00965D8C"/>
    <w:rsid w:val="00A02EA5"/>
    <w:rsid w:val="00AB32BC"/>
    <w:rsid w:val="00B042B5"/>
    <w:rsid w:val="00B3654A"/>
    <w:rsid w:val="00B97D09"/>
    <w:rsid w:val="00BD2EFA"/>
    <w:rsid w:val="00CA2EDC"/>
    <w:rsid w:val="00CB1964"/>
    <w:rsid w:val="00D25BD1"/>
    <w:rsid w:val="00D6656F"/>
    <w:rsid w:val="00E85F1B"/>
    <w:rsid w:val="00EC732E"/>
    <w:rsid w:val="00F0437D"/>
    <w:rsid w:val="00FC36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32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2613"/>
    <w:rPr>
      <w:sz w:val="20"/>
      <w:szCs w:val="20"/>
    </w:rPr>
  </w:style>
  <w:style w:type="character" w:styleId="FootnoteReference">
    <w:name w:val="footnote reference"/>
    <w:basedOn w:val="DefaultParagraphFont"/>
    <w:uiPriority w:val="99"/>
    <w:semiHidden/>
    <w:unhideWhenUsed/>
    <w:rsid w:val="00632613"/>
    <w:rPr>
      <w:vertAlign w:val="superscript"/>
    </w:rPr>
  </w:style>
  <w:style w:type="paragraph" w:styleId="NormalWeb">
    <w:name w:val="Normal (Web)"/>
    <w:basedOn w:val="Normal"/>
    <w:uiPriority w:val="99"/>
    <w:semiHidden/>
    <w:unhideWhenUsed/>
    <w:rsid w:val="0063261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32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2613"/>
    <w:rPr>
      <w:sz w:val="20"/>
      <w:szCs w:val="20"/>
    </w:rPr>
  </w:style>
  <w:style w:type="character" w:styleId="FootnoteReference">
    <w:name w:val="footnote reference"/>
    <w:basedOn w:val="DefaultParagraphFont"/>
    <w:uiPriority w:val="99"/>
    <w:semiHidden/>
    <w:unhideWhenUsed/>
    <w:rsid w:val="00632613"/>
    <w:rPr>
      <w:vertAlign w:val="superscript"/>
    </w:rPr>
  </w:style>
  <w:style w:type="paragraph" w:styleId="NormalWeb">
    <w:name w:val="Normal (Web)"/>
    <w:basedOn w:val="Normal"/>
    <w:uiPriority w:val="99"/>
    <w:semiHidden/>
    <w:unhideWhenUsed/>
    <w:rsid w:val="006326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421667">
      <w:bodyDiv w:val="1"/>
      <w:marLeft w:val="0"/>
      <w:marRight w:val="0"/>
      <w:marTop w:val="0"/>
      <w:marBottom w:val="0"/>
      <w:divBdr>
        <w:top w:val="none" w:sz="0" w:space="0" w:color="auto"/>
        <w:left w:val="none" w:sz="0" w:space="0" w:color="auto"/>
        <w:bottom w:val="none" w:sz="0" w:space="0" w:color="auto"/>
        <w:right w:val="none" w:sz="0" w:space="0" w:color="auto"/>
      </w:divBdr>
    </w:div>
    <w:div w:id="1442652957">
      <w:bodyDiv w:val="1"/>
      <w:marLeft w:val="0"/>
      <w:marRight w:val="0"/>
      <w:marTop w:val="0"/>
      <w:marBottom w:val="0"/>
      <w:divBdr>
        <w:top w:val="none" w:sz="0" w:space="0" w:color="auto"/>
        <w:left w:val="none" w:sz="0" w:space="0" w:color="auto"/>
        <w:bottom w:val="none" w:sz="0" w:space="0" w:color="auto"/>
        <w:right w:val="none" w:sz="0" w:space="0" w:color="auto"/>
      </w:divBdr>
    </w:div>
    <w:div w:id="21313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30</cp:revision>
  <dcterms:created xsi:type="dcterms:W3CDTF">2018-12-14T17:32:00Z</dcterms:created>
  <dcterms:modified xsi:type="dcterms:W3CDTF">2020-08-23T04:02:00Z</dcterms:modified>
</cp:coreProperties>
</file>